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E5F" w:rsidRDefault="00485E5F">
      <w:bookmarkStart w:id="0" w:name="_GoBack"/>
      <w:bookmarkEnd w:id="0"/>
    </w:p>
    <w:p w:rsidR="004C7A9C" w:rsidRDefault="004C7A9C" w:rsidP="004C7A9C">
      <w:pPr>
        <w:pStyle w:val="NormalWeb"/>
        <w:jc w:val="center"/>
        <w:rPr>
          <w:color w:val="000000"/>
        </w:rPr>
      </w:pPr>
      <w:r>
        <w:rPr>
          <w:rStyle w:val="Forte"/>
          <w:color w:val="000000"/>
        </w:rPr>
        <w:t>Instrução Normativa Diretoria do Departamento de Registro Empresarial e Integração - DREI nº 11 de 05.12.2013</w:t>
      </w:r>
      <w:r>
        <w:rPr>
          <w:color w:val="000000"/>
        </w:rPr>
        <w:br/>
      </w:r>
      <w:r>
        <w:rPr>
          <w:color w:val="000000"/>
        </w:rPr>
        <w:br/>
        <w:t>D.O.U.: 09.12.2013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Dispõe sobre procedimentos para a validade e eficácia dos instrumentos de escrituração dos empresários individuais, das empresas individual de responsabilidade </w:t>
      </w:r>
      <w:proofErr w:type="spellStart"/>
      <w:r>
        <w:rPr>
          <w:color w:val="000000"/>
        </w:rPr>
        <w:t>Ltda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Eireli</w:t>
      </w:r>
      <w:proofErr w:type="spellEnd"/>
      <w:r>
        <w:rPr>
          <w:color w:val="000000"/>
        </w:rPr>
        <w:t>, das sociedades empresárias, das cooperativas, dos consórcios, dos grupos de sociedades, dos leiloeiros, dos tradutores públicos e intérpretes comerciais.</w:t>
      </w:r>
      <w:proofErr w:type="gramStart"/>
      <w:r>
        <w:rPr>
          <w:color w:val="000000"/>
        </w:rPr>
        <w:br w:type="textWrapping" w:clear="all"/>
      </w:r>
      <w:proofErr w:type="gramEnd"/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O DIRETOR DO DEPARTAMENTO DE REGISTRO EMPRESARIAL E INTEGRAÇÃO - DREI, no uso das atribuições que lhe confere o art. 4º do Decreto nº 1.800, de 30 de janeiro de 1996, e </w:t>
      </w:r>
      <w:proofErr w:type="spellStart"/>
      <w:r>
        <w:rPr>
          <w:color w:val="000000"/>
        </w:rPr>
        <w:t>oart</w:t>
      </w:r>
      <w:proofErr w:type="spellEnd"/>
      <w:r>
        <w:rPr>
          <w:color w:val="000000"/>
        </w:rPr>
        <w:t xml:space="preserve">. 8º, inciso </w:t>
      </w:r>
      <w:proofErr w:type="gramStart"/>
      <w:r>
        <w:rPr>
          <w:color w:val="000000"/>
        </w:rPr>
        <w:t>VI</w:t>
      </w:r>
      <w:proofErr w:type="gramEnd"/>
      <w:r>
        <w:rPr>
          <w:color w:val="000000"/>
        </w:rPr>
        <w:t>, do Anexo I, do Decreto nº 8.001, de 10 de maio de 2013, e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Considerando as disposições contidas no inciso III do art. 32 da Lei nº 8.934, de 18 de novembro de 1994; </w:t>
      </w:r>
      <w:proofErr w:type="spellStart"/>
      <w:r>
        <w:rPr>
          <w:color w:val="000000"/>
        </w:rPr>
        <w:t>noart</w:t>
      </w:r>
      <w:proofErr w:type="spellEnd"/>
      <w:r>
        <w:rPr>
          <w:color w:val="000000"/>
        </w:rPr>
        <w:t xml:space="preserve">. 14 do Decreto-lei nº 486, de </w:t>
      </w:r>
      <w:proofErr w:type="gramStart"/>
      <w:r>
        <w:rPr>
          <w:color w:val="000000"/>
        </w:rPr>
        <w:t>3</w:t>
      </w:r>
      <w:proofErr w:type="gramEnd"/>
      <w:r>
        <w:rPr>
          <w:color w:val="000000"/>
        </w:rPr>
        <w:t xml:space="preserve"> de março de 1969, regulamentado pelo Decreto Federal nº 64.567, de 22 de maio de 1969; no inciso I do art. 78 do Decreto nº 1.800, de 1996; e nos artigos 1.179 a 1.195 da Lei nº 10.406, de 10 de janeiro de 2002;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Considerando a necessidade de uniformizar e atualizar os procedimentos relativos à autenticação dos instrumentos de escrituração empresários individuais, das empresas individual de responsabilidade </w:t>
      </w:r>
      <w:proofErr w:type="spellStart"/>
      <w:r>
        <w:rPr>
          <w:color w:val="000000"/>
        </w:rPr>
        <w:t>Ltda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Eireli</w:t>
      </w:r>
      <w:proofErr w:type="spellEnd"/>
      <w:r>
        <w:rPr>
          <w:color w:val="000000"/>
        </w:rPr>
        <w:t>, das sociedades empresárias, das cooperativas, dos consórcios, dos grupos de sociedades, dos leiloeiros, dos tradutores públicos e intérpretes comerciais para lhes dar validade e eficácia,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Resolve: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Capítulo I</w:t>
      </w:r>
      <w:r>
        <w:rPr>
          <w:color w:val="000000"/>
        </w:rPr>
        <w:br/>
        <w:t>Dos Instrumentos de Escrituração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Art. 1ºOs procedimentos para validade e eficácia dos instrumentos de escrituração dos empresários individuais, da empresa individual de responsabilidade </w:t>
      </w:r>
      <w:proofErr w:type="spellStart"/>
      <w:r>
        <w:rPr>
          <w:color w:val="000000"/>
        </w:rPr>
        <w:t>Ltda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Eireli</w:t>
      </w:r>
      <w:proofErr w:type="spellEnd"/>
      <w:r>
        <w:rPr>
          <w:color w:val="000000"/>
        </w:rPr>
        <w:t xml:space="preserve">, das sociedades empresárias, </w:t>
      </w:r>
      <w:proofErr w:type="gramStart"/>
      <w:r>
        <w:rPr>
          <w:color w:val="000000"/>
        </w:rPr>
        <w:t>das cooperativa</w:t>
      </w:r>
      <w:proofErr w:type="gramEnd"/>
      <w:r>
        <w:rPr>
          <w:color w:val="000000"/>
        </w:rPr>
        <w:t>, dos consórcios, dos grupos de sociedades, dos leiloeiros, dos tradutores públicos e intérpretes comerciais ficam disciplinados pelo disposto nesta Instrução Normativa, sem prejuízo da legislação específica aplicável à matéria.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Parágrafo único. As disposições desta Instrução Normativa aplicam-se às filiais, sucursais ou agências, no País, aos empresários individuais, a empresa individual de responsabilidade </w:t>
      </w:r>
      <w:proofErr w:type="spellStart"/>
      <w:r>
        <w:rPr>
          <w:color w:val="000000"/>
        </w:rPr>
        <w:t>Ltda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Eireli</w:t>
      </w:r>
      <w:proofErr w:type="spellEnd"/>
      <w:r>
        <w:rPr>
          <w:color w:val="000000"/>
        </w:rPr>
        <w:t>, as sociedades empresárias, as cooperativas, aos consórcios, aos grupos de sociedades autorizados a funcionar no País, com sede em país estrangeiro (art. 1.195 do Código Civil de 2002).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Art. 2ºSão instrumentos de escrituração dos empresários e das sociedades empresárias: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lastRenderedPageBreak/>
        <w:t>I - livros, em papel;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Capítulo II</w:t>
      </w:r>
      <w:r>
        <w:rPr>
          <w:color w:val="000000"/>
        </w:rPr>
        <w:br/>
        <w:t>Dos Termos de Abertura e de Encerramento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Art. 9ºOs instrumentos de escrituração das entidades conterão termos de abertura e de encerramento, que indicarão: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I - Termo de Abertura: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a) o nome empresarial do empresário ou da sociedade empresária a que pertença o instrumento de escrituração;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b) o Número de Identificação do Registro de Empresas - NIRE e a data do arquivamento dos atos constitutivos ou do ato de conversão de sociedade simples em sociedade empresária pela Junta Comercial;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c) o município da sede ou filial;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d) a finalidade a que se destina o instrumento de escrituração (denominação do livro);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e) o número de ordem do instrumento de escrituração;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f) a quantidade de:</w:t>
      </w:r>
    </w:p>
    <w:p w:rsidR="004C7A9C" w:rsidRDefault="004C7A9C" w:rsidP="004C7A9C">
      <w:pPr>
        <w:pStyle w:val="NormalWeb"/>
        <w:rPr>
          <w:color w:val="000000"/>
        </w:rPr>
      </w:pPr>
      <w:proofErr w:type="gramStart"/>
      <w:r>
        <w:rPr>
          <w:color w:val="000000"/>
        </w:rPr>
        <w:t>f.</w:t>
      </w:r>
      <w:proofErr w:type="gramEnd"/>
      <w:r>
        <w:rPr>
          <w:color w:val="000000"/>
        </w:rPr>
        <w:t>1 - folhas, se numeradas apenas no anverso;</w:t>
      </w:r>
    </w:p>
    <w:p w:rsidR="004C7A9C" w:rsidRDefault="004C7A9C" w:rsidP="004C7A9C">
      <w:pPr>
        <w:pStyle w:val="NormalWeb"/>
        <w:rPr>
          <w:color w:val="000000"/>
        </w:rPr>
      </w:pPr>
      <w:proofErr w:type="gramStart"/>
      <w:r>
        <w:rPr>
          <w:color w:val="000000"/>
        </w:rPr>
        <w:t>f.</w:t>
      </w:r>
      <w:proofErr w:type="gramEnd"/>
      <w:r>
        <w:rPr>
          <w:color w:val="000000"/>
        </w:rPr>
        <w:t>2 - páginas, se numeradas no anverso e verso;</w:t>
      </w:r>
    </w:p>
    <w:p w:rsidR="004C7A9C" w:rsidRDefault="004C7A9C" w:rsidP="004C7A9C">
      <w:pPr>
        <w:pStyle w:val="NormalWeb"/>
        <w:rPr>
          <w:color w:val="000000"/>
        </w:rPr>
      </w:pPr>
      <w:proofErr w:type="gramStart"/>
      <w:r>
        <w:rPr>
          <w:color w:val="000000"/>
        </w:rPr>
        <w:t>f.</w:t>
      </w:r>
      <w:proofErr w:type="gramEnd"/>
      <w:r>
        <w:rPr>
          <w:color w:val="000000"/>
        </w:rPr>
        <w:t>3 - fotogramas, se microfichas;</w:t>
      </w:r>
    </w:p>
    <w:p w:rsidR="004C7A9C" w:rsidRDefault="004C7A9C" w:rsidP="004C7A9C">
      <w:pPr>
        <w:pStyle w:val="NormalWeb"/>
        <w:rPr>
          <w:color w:val="000000"/>
        </w:rPr>
      </w:pPr>
      <w:proofErr w:type="gramStart"/>
      <w:r>
        <w:rPr>
          <w:color w:val="000000"/>
        </w:rPr>
        <w:t>f.</w:t>
      </w:r>
      <w:proofErr w:type="gramEnd"/>
      <w:r>
        <w:rPr>
          <w:color w:val="000000"/>
        </w:rPr>
        <w:t>4 - registros, se livro digital;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>§ 1º No Termo de Encerramento do livro Diário com escrituração resumida deverá constar relação que identifique todos os livros auxiliares a ele associados, com indicação da finalidade de cada um deles e seus respectivos números sequenciais.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§ 2º Cada livro auxiliar, no respectivo Termo de Encerramento, deverá indicar o(s) número(s) do(s) livro(s) Diário com escrituração </w:t>
      </w:r>
      <w:proofErr w:type="gramStart"/>
      <w:r>
        <w:rPr>
          <w:color w:val="000000"/>
        </w:rPr>
        <w:t>resumida a que esteja(m) vinculado</w:t>
      </w:r>
      <w:proofErr w:type="gramEnd"/>
      <w:r>
        <w:rPr>
          <w:color w:val="000000"/>
        </w:rPr>
        <w:t>(s).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§ 3º Quando </w:t>
      </w:r>
      <w:proofErr w:type="gramStart"/>
      <w:r>
        <w:rPr>
          <w:color w:val="000000"/>
        </w:rPr>
        <w:t>os livros Diário com escrituração resumida</w:t>
      </w:r>
      <w:proofErr w:type="gramEnd"/>
      <w:r>
        <w:rPr>
          <w:color w:val="000000"/>
        </w:rPr>
        <w:t xml:space="preserve"> e seus auxiliares forem digitais, as informações previstas nos parágrafos 1º e 2º serão inseridas em registro específico.</w:t>
      </w:r>
    </w:p>
    <w:p w:rsidR="004C7A9C" w:rsidRDefault="004C7A9C" w:rsidP="004C7A9C">
      <w:pPr>
        <w:pStyle w:val="NormalWeb"/>
        <w:rPr>
          <w:color w:val="000000"/>
        </w:rPr>
      </w:pPr>
      <w:r>
        <w:rPr>
          <w:color w:val="000000"/>
        </w:rPr>
        <w:t xml:space="preserve">§ 4º Existindo erro ou omissão de algum dado obrigatório do Termo de Abertura, Termo de Encerramento ou de formalidade </w:t>
      </w:r>
      <w:proofErr w:type="gramStart"/>
      <w:r>
        <w:rPr>
          <w:color w:val="000000"/>
        </w:rPr>
        <w:t>intrínseca relacionadas</w:t>
      </w:r>
      <w:proofErr w:type="gramEnd"/>
      <w:r>
        <w:rPr>
          <w:color w:val="000000"/>
        </w:rPr>
        <w:t xml:space="preserve"> à apresentação ou aparência das demonstrações contábeis, no livro em papel, poderá ser feita ressalva na própria folha ou página, a qual deverá ser assinada pelos mesmos signatários do Termo e homologada pelo autenticador do instrumento pela Junta Comercial, mediante Termo de homologação por esse datado e assinado.</w:t>
      </w:r>
    </w:p>
    <w:sectPr w:rsidR="004C7A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A9C"/>
    <w:rsid w:val="00485E5F"/>
    <w:rsid w:val="004C7A9C"/>
    <w:rsid w:val="006F03C2"/>
    <w:rsid w:val="008F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7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C7A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7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C7A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2</cp:revision>
  <dcterms:created xsi:type="dcterms:W3CDTF">2018-02-28T14:01:00Z</dcterms:created>
  <dcterms:modified xsi:type="dcterms:W3CDTF">2018-02-28T14:01:00Z</dcterms:modified>
</cp:coreProperties>
</file>